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1A869" w14:textId="46E85388" w:rsidR="00BC6728" w:rsidRDefault="00786313" w:rsidP="00BC6728">
      <w:pPr>
        <w:spacing w:after="0"/>
        <w:jc w:val="center"/>
        <w:rPr>
          <w:b/>
          <w:bCs/>
          <w:sz w:val="36"/>
          <w:szCs w:val="36"/>
        </w:rPr>
      </w:pPr>
      <w:r w:rsidRPr="00786313">
        <w:rPr>
          <w:b/>
          <w:bCs/>
          <w:sz w:val="36"/>
          <w:szCs w:val="36"/>
        </w:rPr>
        <w:t>CRITERIOS DE CALIFICACIÓN DEL APRENDIZAJE</w:t>
      </w:r>
      <w:r w:rsidR="00186240">
        <w:rPr>
          <w:b/>
          <w:bCs/>
          <w:sz w:val="36"/>
          <w:szCs w:val="36"/>
        </w:rPr>
        <w:t xml:space="preserve"> </w:t>
      </w:r>
      <w:r w:rsidR="00186240" w:rsidRPr="00186240">
        <w:rPr>
          <w:b/>
          <w:bCs/>
          <w:sz w:val="36"/>
          <w:szCs w:val="36"/>
        </w:rPr>
        <w:t>202</w:t>
      </w:r>
      <w:r w:rsidR="009B2FD5">
        <w:rPr>
          <w:b/>
          <w:bCs/>
          <w:sz w:val="36"/>
          <w:szCs w:val="36"/>
        </w:rPr>
        <w:t>4</w:t>
      </w:r>
      <w:r w:rsidR="00186240" w:rsidRPr="00186240">
        <w:rPr>
          <w:b/>
          <w:bCs/>
          <w:sz w:val="36"/>
          <w:szCs w:val="36"/>
        </w:rPr>
        <w:t>/202</w:t>
      </w:r>
      <w:r w:rsidR="009B2FD5">
        <w:rPr>
          <w:b/>
          <w:bCs/>
          <w:sz w:val="36"/>
          <w:szCs w:val="36"/>
        </w:rPr>
        <w:t>5</w:t>
      </w:r>
    </w:p>
    <w:p w14:paraId="70869896" w14:textId="77777777" w:rsidR="00817A51" w:rsidRDefault="00817A51" w:rsidP="00BC6728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PESE</w:t>
      </w:r>
      <w:r w:rsidR="00BC6728">
        <w:rPr>
          <w:b/>
          <w:bCs/>
          <w:sz w:val="36"/>
          <w:szCs w:val="36"/>
        </w:rPr>
        <w:t xml:space="preserve"> (Proyecto de emprendimiento social y empresarial)</w:t>
      </w:r>
      <w:r w:rsidR="002339CF">
        <w:rPr>
          <w:b/>
          <w:bCs/>
          <w:sz w:val="36"/>
          <w:szCs w:val="36"/>
        </w:rPr>
        <w:t xml:space="preserve"> </w:t>
      </w:r>
      <w:r w:rsidR="00085765">
        <w:rPr>
          <w:b/>
          <w:bCs/>
          <w:sz w:val="36"/>
          <w:szCs w:val="36"/>
        </w:rPr>
        <w:t>3</w:t>
      </w:r>
      <w:r w:rsidR="00161AEB">
        <w:rPr>
          <w:b/>
          <w:bCs/>
          <w:sz w:val="36"/>
          <w:szCs w:val="36"/>
        </w:rPr>
        <w:t>º ESO</w:t>
      </w:r>
    </w:p>
    <w:p w14:paraId="7698A787" w14:textId="77777777" w:rsidR="00786313" w:rsidRPr="00817A51" w:rsidRDefault="00786313" w:rsidP="00786313">
      <w:pPr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9"/>
        <w:gridCol w:w="2948"/>
        <w:gridCol w:w="6542"/>
        <w:gridCol w:w="1701"/>
      </w:tblGrid>
      <w:tr w:rsidR="00AA278E" w14:paraId="74C0A1CB" w14:textId="77777777" w:rsidTr="00AA278E">
        <w:trPr>
          <w:trHeight w:val="766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5FDBC1" w14:textId="77777777" w:rsidR="00AA278E" w:rsidRPr="00F71136" w:rsidRDefault="00AA278E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 xml:space="preserve">PROCEDIMIENTO E </w:t>
            </w:r>
            <w:r w:rsidRPr="00F71136">
              <w:rPr>
                <w:rFonts w:cstheme="minorHAnsi"/>
                <w:b/>
                <w:spacing w:val="-3"/>
              </w:rPr>
              <w:t>INSTRUMENTO EVALUADOR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62BD" w14:textId="77777777" w:rsidR="00AA278E" w:rsidRPr="00F71136" w:rsidRDefault="00AA278E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CE85" w14:textId="77777777" w:rsidR="00AA278E" w:rsidRPr="00AA278E" w:rsidRDefault="00AA278E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5B658055" w14:textId="77777777" w:rsidR="00AA278E" w:rsidRPr="00AA278E" w:rsidRDefault="00AA278E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AA278E">
              <w:rPr>
                <w:rFonts w:cstheme="minorHAnsi"/>
                <w:b/>
              </w:rPr>
              <w:t>CRITERIOS DE EVALUACIÓN</w:t>
            </w:r>
            <w:r w:rsidR="00BC6728">
              <w:rPr>
                <w:rFonts w:cstheme="minorHAnsi"/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29AC" w14:textId="77777777" w:rsidR="00AA278E" w:rsidRPr="00F71136" w:rsidRDefault="00AA278E" w:rsidP="00CD50EB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AA278E" w14:paraId="4E6E1B19" w14:textId="77777777" w:rsidTr="00AA278E">
        <w:trPr>
          <w:trHeight w:val="950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0BE1AF" w14:textId="77777777" w:rsidR="00AA278E" w:rsidRDefault="00AA278E" w:rsidP="004D3BC9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6BDDB0A4" w14:textId="77777777" w:rsidR="00AA278E" w:rsidRDefault="00AA278E" w:rsidP="004D3BC9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32CE7B04" w14:textId="77777777" w:rsidR="00AA278E" w:rsidRPr="008B2D00" w:rsidRDefault="00AA278E" w:rsidP="004D3BC9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Pruebas orales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109C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Pruebas específicas orales y/o escritas.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0771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1.1. Sintetizar las principales cualidades que se reconocen a las personas emprendedoras incluyendo a las intraemprendedoras y a las emprendedoras sociales. </w:t>
            </w:r>
          </w:p>
          <w:p w14:paraId="03AE3A91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>1.2. Reconocer los diferentes tipos de emprendimiento y asociar esta actividad a la creación de soluciones innovadoras que generan un valor social y económico dentro de una sociedad.</w:t>
            </w:r>
          </w:p>
          <w:p w14:paraId="4E098F36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2.1. Detectar oportunidades y necesidades sociales aún no cubiertas, analizarlas y elegir aquella que, por sus características, constituya una verdadera oportunidad de emprender una intervención real, explicar la decisión adoptada y las implicaciones sociales de su acción. </w:t>
            </w:r>
          </w:p>
          <w:p w14:paraId="5FC7EFD8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>2.3. Conectar los Objetivos de Desarrollo Sostenible con las necesidades de su entorno y con la idea de proyecto elegida.</w:t>
            </w:r>
          </w:p>
          <w:p w14:paraId="14491A85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3.2. Determinar los recursos humanos, materiales y financieros necesarios para la puesta en marcha del proyecto y realizar una aproximación al análisis de su viabilidad legal, económica y social. </w:t>
            </w:r>
          </w:p>
          <w:p w14:paraId="538B2D1E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4.1. Valorar y utilizar distintas estrategias de comunicación oral, así como diferentes técnicas de expresión escrita que puedan servir de apoyo. </w:t>
            </w:r>
          </w:p>
          <w:p w14:paraId="1D4EB8B5" w14:textId="77777777" w:rsidR="00AA278E" w:rsidRPr="00AA278E" w:rsidRDefault="00AA278E" w:rsidP="00786313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C54D" w14:textId="77777777" w:rsidR="00AA278E" w:rsidRPr="00F71136" w:rsidRDefault="00AA278E" w:rsidP="00CD50EB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t>50</w:t>
            </w:r>
            <w:r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Pr="00F71136">
              <w:rPr>
                <w:rFonts w:cstheme="minorHAnsi"/>
                <w:spacing w:val="-3"/>
              </w:rPr>
              <w:t>calif</w:t>
            </w:r>
            <w:proofErr w:type="spellEnd"/>
            <w:r w:rsidRPr="00F71136">
              <w:rPr>
                <w:rFonts w:cstheme="minorHAnsi"/>
                <w:spacing w:val="-3"/>
              </w:rPr>
              <w:t>.</w:t>
            </w:r>
          </w:p>
        </w:tc>
      </w:tr>
      <w:tr w:rsidR="00AA278E" w14:paraId="4D405C9F" w14:textId="77777777" w:rsidTr="00AA278E">
        <w:trPr>
          <w:trHeight w:val="963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1127F4C" w14:textId="77777777" w:rsidR="00AA278E" w:rsidRDefault="00AA278E" w:rsidP="004D3BC9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Análisis de producciones de alumnos</w:t>
            </w:r>
          </w:p>
          <w:p w14:paraId="6DAA720E" w14:textId="77777777" w:rsidR="00AA278E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 xml:space="preserve">Escalas de </w:t>
            </w:r>
            <w:r w:rsidRPr="008B2D00">
              <w:rPr>
                <w:rFonts w:ascii="Arial MT" w:eastAsia="Arial MT" w:hAnsi="Arial MT" w:cs="Arial MT"/>
                <w:sz w:val="20"/>
              </w:rPr>
              <w:lastRenderedPageBreak/>
              <w:t>Valoración.</w:t>
            </w:r>
          </w:p>
          <w:p w14:paraId="3EE66F35" w14:textId="77777777" w:rsidR="00AA278E" w:rsidRPr="008B2D00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Rúbricas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224A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lastRenderedPageBreak/>
              <w:t>Actividades de expresión oral y/o escritas, para realización de:</w:t>
            </w:r>
          </w:p>
          <w:p w14:paraId="5C414926" w14:textId="77777777" w:rsidR="00AA278E" w:rsidRPr="00F71136" w:rsidRDefault="00AA278E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lastRenderedPageBreak/>
              <w:t>Estudios de casos.</w:t>
            </w:r>
          </w:p>
          <w:p w14:paraId="4FA00F98" w14:textId="77777777" w:rsidR="00AA278E" w:rsidRPr="00F71136" w:rsidRDefault="00AA278E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4A831D6C" w14:textId="77777777" w:rsidR="00AA278E" w:rsidRDefault="00AA278E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trabajo.</w:t>
            </w:r>
          </w:p>
          <w:p w14:paraId="230CA4F5" w14:textId="5DCE74A8" w:rsidR="00AA278E" w:rsidRPr="00F71136" w:rsidRDefault="00AA278E" w:rsidP="009B2FD5">
            <w:pPr>
              <w:pStyle w:val="Prrafodelista"/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13FC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lastRenderedPageBreak/>
              <w:t>2.2. Utilizar responsablemente las fuentes de información disponibles contrastando su grado de fiabilidad y elaborar herramientas de investigación para la obtención de datos que ayuden al conocimiento de las necesidades del entorno.</w:t>
            </w:r>
          </w:p>
          <w:p w14:paraId="0B08813E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lastRenderedPageBreak/>
              <w:t>3.3. Elaborar, mediante el trabajo en grupo y utilizando diversas aplicaciones informáticas, el proyecto, destacando las características internas y su relación con el entorno, así como su función social.</w:t>
            </w:r>
          </w:p>
          <w:p w14:paraId="6052E111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4.1. Valorar y utilizar distintas estrategias de comunicación oral, así como diferentes técnicas de expresión escrita que puedan servir de apoyo. </w:t>
            </w:r>
          </w:p>
          <w:p w14:paraId="66913632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5.1. Utilizar estrategias de ejecución de proyectos que faciliten los objetivos establecidos. </w:t>
            </w:r>
          </w:p>
          <w:p w14:paraId="6BD90104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>5.2. Apreciar la importancia del trabajo individual y colectivo para el logro de los objetivos planteados.</w:t>
            </w:r>
          </w:p>
          <w:p w14:paraId="7F08E305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6.1. Analizar de manera crítica el proceso llevado a cabo en la realización del proyecto, estableciendo comparaciones entre lo pretendido y los resultados obtenidos. </w:t>
            </w:r>
          </w:p>
          <w:p w14:paraId="12FA3EAA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6.2. Valorar la contribución que ha supuesto la elaboración y ejecución del proyecto en el aprendizaje individual y colectivo. </w:t>
            </w:r>
          </w:p>
          <w:p w14:paraId="2542BF60" w14:textId="77777777" w:rsidR="00AA278E" w:rsidRPr="00AA278E" w:rsidRDefault="00AA278E" w:rsidP="00AA278E">
            <w:pPr>
              <w:spacing w:after="0"/>
              <w:ind w:right="-6"/>
              <w:rPr>
                <w:rFonts w:cstheme="minorHAnsi"/>
              </w:rPr>
            </w:pPr>
            <w:r w:rsidRPr="00AA278E">
              <w:rPr>
                <w:rFonts w:eastAsia="Times New Roman" w:cstheme="minorHAnsi"/>
                <w:lang w:eastAsia="es-ES"/>
              </w:rPr>
              <w:t>6.3. Observar el impacto del proyecto en el colectivo destinatario del mismo y su posible contribución al logro de los Objetivos de Desarrollo Sostenible.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8185" w14:textId="77777777" w:rsidR="00AA278E" w:rsidRPr="00F71136" w:rsidRDefault="00E84B1A" w:rsidP="00CD50EB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25</w:t>
            </w:r>
            <w:r w:rsidR="00AA278E"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="00AA278E" w:rsidRPr="00F71136">
              <w:rPr>
                <w:rFonts w:cstheme="minorHAnsi"/>
                <w:spacing w:val="-3"/>
              </w:rPr>
              <w:t>calif</w:t>
            </w:r>
            <w:proofErr w:type="spellEnd"/>
            <w:r w:rsidR="00AA278E" w:rsidRPr="00F71136">
              <w:rPr>
                <w:rFonts w:cstheme="minorHAnsi"/>
                <w:spacing w:val="-3"/>
              </w:rPr>
              <w:t>.</w:t>
            </w:r>
          </w:p>
          <w:p w14:paraId="03D99546" w14:textId="77777777" w:rsidR="00AA278E" w:rsidRPr="00F71136" w:rsidRDefault="00AA278E" w:rsidP="00CD50EB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</w:p>
        </w:tc>
      </w:tr>
      <w:tr w:rsidR="00AA278E" w14:paraId="277B29B2" w14:textId="77777777" w:rsidTr="00E84B1A">
        <w:trPr>
          <w:trHeight w:val="2181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92E1076" w14:textId="77777777" w:rsidR="00AA278E" w:rsidRDefault="00AA278E" w:rsidP="004D3BC9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Observación sistemática</w:t>
            </w:r>
            <w:r>
              <w:rPr>
                <w:rFonts w:cstheme="minorHAnsi"/>
                <w:b/>
                <w:spacing w:val="-3"/>
              </w:rPr>
              <w:t>.</w:t>
            </w:r>
          </w:p>
          <w:p w14:paraId="373A4A65" w14:textId="77777777" w:rsidR="00AA278E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Registro de incidencias.</w:t>
            </w:r>
          </w:p>
          <w:p w14:paraId="5244E220" w14:textId="77777777" w:rsidR="00AA278E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37A3D2DF" w14:textId="77777777" w:rsidR="00AA278E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Listas de control.</w:t>
            </w:r>
          </w:p>
          <w:p w14:paraId="22DD8869" w14:textId="77777777" w:rsidR="00AA278E" w:rsidRPr="009D69BC" w:rsidRDefault="00AA278E" w:rsidP="004D3BC9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Observación directa.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DDFE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133F1572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7626646B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39E74AF1" w14:textId="77777777" w:rsidR="00AA278E" w:rsidRPr="00F71136" w:rsidRDefault="00AA278E" w:rsidP="00786313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D2F1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>2.2. Utilizar responsablemente las fuentes de información disponibles contrastando su grado de fiabilidad y elaborar herramientas de investigación para la obtención de datos que ayuden al conocimiento de las necesidades del entorno.</w:t>
            </w:r>
          </w:p>
          <w:p w14:paraId="2DD36E20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>3.3. Elaborar, mediante el trabajo en grupo y utilizando diversas aplicaciones informáticas, el proyecto, destacando las características internas y su relación con el entorno, así como su función social.</w:t>
            </w:r>
          </w:p>
          <w:p w14:paraId="23347DCB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4.1. Valorar y utilizar distintas estrategias de comunicación oral, así como diferentes técnicas de expresión escrita que puedan servir de apoyo. </w:t>
            </w:r>
          </w:p>
          <w:p w14:paraId="2FCAA91E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5.1. Utilizar estrategias de ejecución de proyectos que faciliten los objetivos establecidos. </w:t>
            </w:r>
          </w:p>
          <w:p w14:paraId="0CC6AB9C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5.2. Apreciar la importancia del trabajo individual y colectivo para el </w:t>
            </w:r>
            <w:r w:rsidRPr="00AA278E">
              <w:rPr>
                <w:rFonts w:eastAsia="Times New Roman" w:cstheme="minorHAnsi"/>
                <w:lang w:eastAsia="es-ES"/>
              </w:rPr>
              <w:lastRenderedPageBreak/>
              <w:t>logro de los objetivos planteados.</w:t>
            </w:r>
          </w:p>
          <w:p w14:paraId="3CB22CA1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6.1. Analizar de manera crítica el proceso llevado a cabo en la realización del proyecto, estableciendo comparaciones entre lo pretendido y los resultados obtenidos. </w:t>
            </w:r>
          </w:p>
          <w:p w14:paraId="1A66F5BB" w14:textId="77777777" w:rsidR="00AA278E" w:rsidRPr="00AA278E" w:rsidRDefault="00AA278E" w:rsidP="00AA278E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AA278E">
              <w:rPr>
                <w:rFonts w:eastAsia="Times New Roman" w:cstheme="minorHAnsi"/>
                <w:lang w:eastAsia="es-ES"/>
              </w:rPr>
              <w:t xml:space="preserve">6.2. Valorar la contribución que ha supuesto la elaboración y ejecución del proyecto en el aprendizaje individual y colectivo. </w:t>
            </w:r>
          </w:p>
          <w:p w14:paraId="7AEDC738" w14:textId="77777777" w:rsidR="00AA278E" w:rsidRPr="00AA278E" w:rsidRDefault="00AA278E" w:rsidP="00AA278E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AA278E">
              <w:rPr>
                <w:rFonts w:eastAsia="Times New Roman" w:cstheme="minorHAnsi"/>
                <w:lang w:eastAsia="es-ES"/>
              </w:rPr>
              <w:t>6.3. Observar el impacto del proyecto en el colectivo destinatario del mismo y su posible contribución al logro de los Objetivos de Desarrollo Sostenible.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A9B4" w14:textId="77777777" w:rsidR="00AA278E" w:rsidRPr="00F71136" w:rsidRDefault="00E84B1A" w:rsidP="00CD50EB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25</w:t>
            </w:r>
            <w:r w:rsidR="00AA278E" w:rsidRPr="00F71136">
              <w:rPr>
                <w:rFonts w:cstheme="minorHAnsi"/>
                <w:spacing w:val="-3"/>
              </w:rPr>
              <w:t xml:space="preserve">% </w:t>
            </w:r>
            <w:proofErr w:type="spellStart"/>
            <w:r w:rsidR="00AA278E" w:rsidRPr="00F71136">
              <w:rPr>
                <w:rFonts w:cstheme="minorHAnsi"/>
                <w:spacing w:val="-3"/>
              </w:rPr>
              <w:t>calif</w:t>
            </w:r>
            <w:proofErr w:type="spellEnd"/>
            <w:r w:rsidR="00AA278E">
              <w:rPr>
                <w:rFonts w:cstheme="minorHAnsi"/>
                <w:spacing w:val="-3"/>
              </w:rPr>
              <w:t>.</w:t>
            </w:r>
          </w:p>
        </w:tc>
      </w:tr>
      <w:tr w:rsidR="00AA278E" w14:paraId="1689BE49" w14:textId="77777777" w:rsidTr="00AA278E">
        <w:trPr>
          <w:trHeight w:val="345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AFB5A32" w14:textId="77777777" w:rsidR="00AA278E" w:rsidRPr="00F71136" w:rsidRDefault="00AA278E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TOTAL</w:t>
            </w:r>
          </w:p>
        </w:tc>
        <w:tc>
          <w:tcPr>
            <w:tcW w:w="9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57C00369" w14:textId="77777777" w:rsidR="00AA278E" w:rsidRPr="00AA278E" w:rsidRDefault="00AA278E" w:rsidP="00786313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AA278E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7C4FA56A" w14:textId="77777777" w:rsidR="00AA278E" w:rsidRPr="00F71136" w:rsidRDefault="00AA278E" w:rsidP="00786313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3D55A3DA" w14:textId="77777777" w:rsidR="00E84B1A" w:rsidRDefault="00E84B1A" w:rsidP="00E84B1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97BB7EA" w14:textId="77777777" w:rsidR="00BC6728" w:rsidRDefault="00BC6728" w:rsidP="00E84B1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*Todos los criterios de evaluación se valoran equitativamente.</w:t>
      </w:r>
    </w:p>
    <w:p w14:paraId="3A4B5E0E" w14:textId="77777777" w:rsidR="00E84B1A" w:rsidRDefault="00E84B1A" w:rsidP="00E84B1A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14:paraId="786414F3" w14:textId="77777777" w:rsidR="00817A51" w:rsidRPr="0011426E" w:rsidRDefault="00817A51" w:rsidP="00E84B1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t xml:space="preserve">La calificación de cada evaluación se obtendrá teniendo en cuenta los criterios de calificación expuestos anteriormente, considerando que el alumno aprueba la evaluación cuando su nota sea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3284B4A0" w14:textId="77777777" w:rsidR="00817A51" w:rsidRPr="0011426E" w:rsidRDefault="00817A51" w:rsidP="00E84B1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122BD4" w14:textId="77777777" w:rsidR="00817A51" w:rsidRPr="0011426E" w:rsidRDefault="00817A51" w:rsidP="00E84B1A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5C28255A" w14:textId="77777777" w:rsidR="00817A51" w:rsidRPr="0011426E" w:rsidRDefault="00817A51" w:rsidP="00E84B1A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0B2DD686" w14:textId="77777777" w:rsidR="00817A51" w:rsidRDefault="00817A51" w:rsidP="00E84B1A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306043">
        <w:rPr>
          <w:rFonts w:cstheme="minorHAnsi"/>
          <w:b/>
          <w:bCs/>
          <w:color w:val="000000"/>
          <w:u w:val="single"/>
        </w:rPr>
        <w:t>Recuperación de los contenidos de cada una de las tres evaluaciones.</w:t>
      </w:r>
    </w:p>
    <w:p w14:paraId="788B8A93" w14:textId="77777777" w:rsidR="00E84B1A" w:rsidRPr="00306043" w:rsidRDefault="00E84B1A" w:rsidP="00E84B1A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1C501693" w14:textId="77777777" w:rsidR="00817A51" w:rsidRPr="0011426E" w:rsidRDefault="00817A51" w:rsidP="00E84B1A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Si el alumnado obtuviera una </w:t>
      </w:r>
      <w:r w:rsidRPr="0011426E">
        <w:rPr>
          <w:rFonts w:cstheme="minorHAnsi"/>
          <w:u w:val="single"/>
        </w:rPr>
        <w:t>calificación negativa en la primera o segunda evaluación (</w:t>
      </w:r>
      <w:r w:rsidRPr="0011426E">
        <w:rPr>
          <w:rFonts w:cstheme="minorHAnsi"/>
        </w:rPr>
        <w:t xml:space="preserve">nota media ponderada de la evaluación inferior al 5), podrá realizar una prueba de recuperación escrita de dichas evaluaciones, con fecha posterior a la sesión de evaluación trimestral correspondiente y única convocatoria. </w:t>
      </w:r>
      <w:r w:rsidRPr="0011426E">
        <w:rPr>
          <w:rFonts w:cstheme="minorHAnsi"/>
          <w:u w:val="single"/>
        </w:rPr>
        <w:t>Quien no supere la tercera evaluación</w:t>
      </w:r>
      <w:r w:rsidRPr="0011426E">
        <w:rPr>
          <w:rFonts w:cstheme="minorHAnsi"/>
        </w:rPr>
        <w:t xml:space="preserve"> recuperará la parte correspondiente en 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 xml:space="preserve"> de junio, aunque, en la medida de lo posible, se intentará realizar esta prueba de recuperación antes del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>.</w:t>
      </w:r>
    </w:p>
    <w:p w14:paraId="477ED1E7" w14:textId="77777777" w:rsidR="00817A51" w:rsidRPr="0011426E" w:rsidRDefault="00817A51" w:rsidP="00E84B1A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Si no se supera alguna de las recuperaciones trimestrales el alumno/a tendrá derecho a una prueba </w:t>
      </w:r>
      <w:r>
        <w:rPr>
          <w:rFonts w:cstheme="minorHAnsi"/>
        </w:rPr>
        <w:t>final</w:t>
      </w:r>
      <w:r w:rsidRPr="0011426E">
        <w:rPr>
          <w:rFonts w:cstheme="minorHAnsi"/>
        </w:rPr>
        <w:t xml:space="preserve"> en junio en la que se examinará de aquellos contenidos relativos a las evaluaciones que no haya recuperado. Para considerar que ha superado esta prueba deberá obtener una calificación superior a 5.</w:t>
      </w:r>
    </w:p>
    <w:p w14:paraId="67477637" w14:textId="77777777" w:rsidR="00BC6728" w:rsidRPr="00E84B1A" w:rsidRDefault="00817A51" w:rsidP="00E84B1A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3B8EFA04" w14:textId="77777777" w:rsidR="00E84B1A" w:rsidRDefault="00E84B1A" w:rsidP="00E84B1A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771A43B7" w14:textId="77777777" w:rsidR="00E84B1A" w:rsidRDefault="00E84B1A" w:rsidP="00E84B1A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45A4C2A2" w14:textId="77777777" w:rsidR="00E84B1A" w:rsidRDefault="00E84B1A" w:rsidP="00E84B1A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5CCBA421" w14:textId="77777777" w:rsidR="00817A51" w:rsidRDefault="00817A51" w:rsidP="00E84B1A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11426E">
        <w:rPr>
          <w:rFonts w:cstheme="minorHAnsi"/>
          <w:b/>
          <w:bCs/>
          <w:u w:val="single"/>
        </w:rPr>
        <w:t>La calificación final de junio se obtendrá</w:t>
      </w:r>
      <w:r w:rsidRPr="0011426E">
        <w:rPr>
          <w:rFonts w:cstheme="minorHAnsi"/>
          <w:u w:val="single"/>
        </w:rPr>
        <w:t xml:space="preserve"> </w:t>
      </w:r>
      <w:r w:rsidRPr="0011426E">
        <w:rPr>
          <w:rFonts w:cstheme="minorHAnsi"/>
          <w:b/>
          <w:bCs/>
          <w:u w:val="single"/>
        </w:rPr>
        <w:t>de la siguiente forma</w:t>
      </w:r>
    </w:p>
    <w:p w14:paraId="0B6479AE" w14:textId="77777777" w:rsidR="00E84B1A" w:rsidRPr="0011426E" w:rsidRDefault="00E84B1A" w:rsidP="00E84B1A">
      <w:pPr>
        <w:spacing w:after="0" w:line="240" w:lineRule="auto"/>
        <w:jc w:val="both"/>
        <w:rPr>
          <w:rFonts w:cstheme="minorHAnsi"/>
          <w:u w:val="single"/>
        </w:rPr>
      </w:pPr>
    </w:p>
    <w:p w14:paraId="289CCD12" w14:textId="77777777" w:rsidR="00817A51" w:rsidRPr="0011426E" w:rsidRDefault="00817A51" w:rsidP="00E84B1A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a)</w:t>
      </w:r>
      <w:r w:rsidRPr="0011426E">
        <w:rPr>
          <w:rFonts w:cstheme="minorHAnsi"/>
        </w:rPr>
        <w:tab/>
        <w:t>Los alumnos/as que no tengan que realizar prueba global en junio, tendrán como calificación final el resultado de calcular la media aritmética de las calificaciones obtenidas en las tres evaluaciones realizadas.</w:t>
      </w:r>
    </w:p>
    <w:p w14:paraId="2274029C" w14:textId="77777777" w:rsidR="00817A51" w:rsidRDefault="00817A51" w:rsidP="00E84B1A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>b)</w:t>
      </w:r>
      <w:r w:rsidRPr="0011426E">
        <w:rPr>
          <w:rFonts w:cstheme="minorHAnsi"/>
        </w:rPr>
        <w:tab/>
        <w:t>Los alumnos/as que tengan que realizar prueba global en junio tendrán como calificación final el resultado de calcular la media aritmética de las notas obtenidas en las evaluaciones superadas (con y sin recuperación) y la mayor de las calificaciones correspondientes a los contenidos evaluados en la prueba global de junio.</w:t>
      </w:r>
    </w:p>
    <w:p w14:paraId="5794D0B2" w14:textId="77777777" w:rsidR="00817A51" w:rsidRPr="00306043" w:rsidRDefault="00817A51" w:rsidP="00E84B1A">
      <w:pPr>
        <w:spacing w:after="0" w:line="240" w:lineRule="auto"/>
        <w:jc w:val="both"/>
        <w:rPr>
          <w:rFonts w:cstheme="minorHAnsi"/>
        </w:rPr>
      </w:pPr>
    </w:p>
    <w:p w14:paraId="03171515" w14:textId="77777777" w:rsidR="00817A51" w:rsidRPr="00845F75" w:rsidRDefault="00817A51" w:rsidP="00E84B1A">
      <w:pPr>
        <w:tabs>
          <w:tab w:val="left" w:pos="4536"/>
        </w:tabs>
        <w:spacing w:after="0" w:line="240" w:lineRule="auto"/>
        <w:jc w:val="center"/>
        <w:rPr>
          <w:rFonts w:cstheme="minorHAnsi"/>
          <w:b/>
          <w:bCs/>
        </w:rPr>
      </w:pPr>
    </w:p>
    <w:p w14:paraId="279086FE" w14:textId="77777777" w:rsidR="00817A51" w:rsidRDefault="00817A51" w:rsidP="00E84B1A">
      <w:pPr>
        <w:tabs>
          <w:tab w:val="left" w:pos="4536"/>
        </w:tabs>
        <w:spacing w:after="0" w:line="240" w:lineRule="auto"/>
        <w:jc w:val="center"/>
        <w:rPr>
          <w:rFonts w:cstheme="minorHAnsi"/>
          <w:b/>
          <w:bCs/>
        </w:rPr>
      </w:pPr>
    </w:p>
    <w:p w14:paraId="48DE9745" w14:textId="77777777" w:rsidR="00B773AC" w:rsidRPr="005C561D" w:rsidRDefault="00817A51" w:rsidP="00E84B1A">
      <w:pPr>
        <w:tabs>
          <w:tab w:val="left" w:pos="990"/>
          <w:tab w:val="left" w:pos="4536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sectPr w:rsidR="00B773AC" w:rsidRPr="005C561D" w:rsidSect="00E84B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E2C0C" w14:textId="77777777" w:rsidR="0046104A" w:rsidRDefault="0046104A" w:rsidP="00161AEB">
      <w:pPr>
        <w:spacing w:after="0" w:line="240" w:lineRule="auto"/>
      </w:pPr>
      <w:r>
        <w:separator/>
      </w:r>
    </w:p>
  </w:endnote>
  <w:endnote w:type="continuationSeparator" w:id="0">
    <w:p w14:paraId="15BC61E7" w14:textId="77777777" w:rsidR="0046104A" w:rsidRDefault="0046104A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F5BBD" w14:textId="77777777" w:rsidR="009B2FD5" w:rsidRDefault="009B2F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5257800"/>
      <w:docPartObj>
        <w:docPartGallery w:val="Page Numbers (Bottom of Page)"/>
        <w:docPartUnique/>
      </w:docPartObj>
    </w:sdtPr>
    <w:sdtEndPr/>
    <w:sdtContent>
      <w:p w14:paraId="52DCE277" w14:textId="77777777" w:rsidR="00161AEB" w:rsidRDefault="00C01C51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E84B1A">
          <w:rPr>
            <w:noProof/>
          </w:rPr>
          <w:t>3</w:t>
        </w:r>
        <w:r>
          <w:fldChar w:fldCharType="end"/>
        </w:r>
      </w:p>
    </w:sdtContent>
  </w:sdt>
  <w:p w14:paraId="7EE8DA4D" w14:textId="77777777" w:rsidR="00161AEB" w:rsidRDefault="00161AE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48CE" w14:textId="77777777" w:rsidR="009B2FD5" w:rsidRDefault="009B2F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A8BA5" w14:textId="77777777" w:rsidR="0046104A" w:rsidRDefault="0046104A" w:rsidP="00161AEB">
      <w:pPr>
        <w:spacing w:after="0" w:line="240" w:lineRule="auto"/>
      </w:pPr>
      <w:r>
        <w:separator/>
      </w:r>
    </w:p>
  </w:footnote>
  <w:footnote w:type="continuationSeparator" w:id="0">
    <w:p w14:paraId="04FF45BC" w14:textId="77777777" w:rsidR="0046104A" w:rsidRDefault="0046104A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211D1" w14:textId="77777777" w:rsidR="009B2FD5" w:rsidRDefault="009B2F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129C6" w14:textId="4E47BBC3" w:rsidR="009B2FD5" w:rsidRDefault="009B2FD5" w:rsidP="009B2FD5">
    <w:pPr>
      <w:jc w:val="center"/>
    </w:pPr>
    <w:r>
      <w:rPr>
        <w:noProof/>
      </w:rPr>
      <w:pict w14:anchorId="3DB9A906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12289" type="#_x0000_t202" style="position:absolute;left:0;text-align:left;margin-left:-30.4pt;margin-top:68.35pt;width:12.65pt;height:552.55pt;z-index:251659264;visibility:visible" stroked="f">
          <v:textbox style="layout-flow:vertical;mso-layout-flow-alt:bottom-to-top" inset="0,0,0,0">
            <w:txbxContent>
              <w:p w14:paraId="34379B0F" w14:textId="77777777" w:rsidR="009B2FD5" w:rsidRDefault="009B2FD5" w:rsidP="009B2FD5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 xml:space="preserve">El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Noveledo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 xml:space="preserve">, 57 - 33770 Vegadeo       </w:t>
                </w:r>
                <w:proofErr w:type="spellStart"/>
                <w:r>
                  <w:rPr>
                    <w:b w:val="0"/>
                    <w:bCs/>
                    <w:sz w:val="16"/>
                    <w:szCs w:val="16"/>
                  </w:rPr>
                  <w:t>Tfnos</w:t>
                </w:r>
                <w:proofErr w:type="spellEnd"/>
                <w:r>
                  <w:rPr>
                    <w:b w:val="0"/>
                    <w:bCs/>
                    <w:sz w:val="16"/>
                    <w:szCs w:val="16"/>
                  </w:rPr>
                  <w:t>. 985.634.377 – 985.476. 044       Fax 985.634. 627       elisaylu@educastur.org       CIF Q-3368220-D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16961E81" wp14:editId="25B4FD37">
          <wp:extent cx="1692275" cy="353060"/>
          <wp:effectExtent l="0" t="0" r="0" b="0"/>
          <wp:docPr id="1292966848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966848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A07">
      <w:rPr>
        <w:noProof/>
      </w:rPr>
      <w:drawing>
        <wp:inline distT="0" distB="0" distL="0" distR="0" wp14:anchorId="181CEDBE" wp14:editId="58B15273">
          <wp:extent cx="2167255" cy="561340"/>
          <wp:effectExtent l="0" t="0" r="0" b="0"/>
          <wp:docPr id="1295228556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5228556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19A6">
      <w:rPr>
        <w:noProof/>
      </w:rPr>
      <w:drawing>
        <wp:inline distT="0" distB="0" distL="0" distR="0" wp14:anchorId="28D95250" wp14:editId="4345CA57">
          <wp:extent cx="1497330" cy="323850"/>
          <wp:effectExtent l="0" t="0" r="0" b="0"/>
          <wp:docPr id="457935683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E56731" w14:textId="318AE95E" w:rsidR="00817A51" w:rsidRPr="009B2FD5" w:rsidRDefault="00817A51" w:rsidP="009B2FD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76E31" w14:textId="77777777" w:rsidR="009B2FD5" w:rsidRDefault="009B2F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105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85765"/>
    <w:rsid w:val="000964A3"/>
    <w:rsid w:val="000D614D"/>
    <w:rsid w:val="00161AEB"/>
    <w:rsid w:val="00186240"/>
    <w:rsid w:val="0022739C"/>
    <w:rsid w:val="002339CF"/>
    <w:rsid w:val="002361C5"/>
    <w:rsid w:val="002C6AAE"/>
    <w:rsid w:val="0046104A"/>
    <w:rsid w:val="004E1420"/>
    <w:rsid w:val="0055116D"/>
    <w:rsid w:val="005C561D"/>
    <w:rsid w:val="005F68F0"/>
    <w:rsid w:val="00786313"/>
    <w:rsid w:val="0080099C"/>
    <w:rsid w:val="00817A51"/>
    <w:rsid w:val="00926016"/>
    <w:rsid w:val="009B2FD5"/>
    <w:rsid w:val="00AA278E"/>
    <w:rsid w:val="00B50ED8"/>
    <w:rsid w:val="00B773AC"/>
    <w:rsid w:val="00BC6728"/>
    <w:rsid w:val="00C01C51"/>
    <w:rsid w:val="00DD5D70"/>
    <w:rsid w:val="00E664A9"/>
    <w:rsid w:val="00E84B1A"/>
    <w:rsid w:val="00F513C6"/>
    <w:rsid w:val="00F71136"/>
    <w:rsid w:val="00FA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59CEB080"/>
  <w15:docId w15:val="{DAC157A7-2D9B-4DBB-90CF-CF752391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420"/>
  </w:style>
  <w:style w:type="paragraph" w:styleId="Ttulo5">
    <w:name w:val="heading 5"/>
    <w:basedOn w:val="Normal"/>
    <w:next w:val="Normal"/>
    <w:link w:val="Ttulo5Car"/>
    <w:qFormat/>
    <w:rsid w:val="009B2FD5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817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A51"/>
    <w:rPr>
      <w:rFonts w:ascii="Tahoma" w:hAnsi="Tahoma" w:cs="Tahoma"/>
      <w:sz w:val="16"/>
      <w:szCs w:val="16"/>
    </w:rPr>
  </w:style>
  <w:style w:type="character" w:customStyle="1" w:styleId="Ttulo5Car">
    <w:name w:val="Título 5 Car"/>
    <w:basedOn w:val="Fuentedeprrafopredeter"/>
    <w:link w:val="Ttulo5"/>
    <w:rsid w:val="009B2FD5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1065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BEATRIZ RUIZ CUETOS</dc:creator>
  <cp:keywords/>
  <dc:description/>
  <cp:lastModifiedBy>CONSUELO GONZALEZ VIDAL</cp:lastModifiedBy>
  <cp:revision>13</cp:revision>
  <cp:lastPrinted>2022-10-13T08:16:00Z</cp:lastPrinted>
  <dcterms:created xsi:type="dcterms:W3CDTF">2020-11-18T08:36:00Z</dcterms:created>
  <dcterms:modified xsi:type="dcterms:W3CDTF">2024-09-25T08:40:00Z</dcterms:modified>
</cp:coreProperties>
</file>